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27B" w:rsidRDefault="002B027B">
      <w:pPr>
        <w:pStyle w:val="normal0"/>
        <w:shd w:val="clear" w:color="auto" w:fill="FFFFFF"/>
        <w:jc w:val="center"/>
        <w:rPr>
          <w:rFonts w:ascii="Times New Roman" w:eastAsia="Calibri" w:hAnsi="Times New Roman" w:cs="Times New Roman"/>
          <w:b/>
          <w:sz w:val="24"/>
          <w:szCs w:val="24"/>
        </w:rPr>
      </w:pPr>
    </w:p>
    <w:p w:rsidR="00151898" w:rsidRPr="00CE4D78" w:rsidRDefault="00C5519E">
      <w:pPr>
        <w:pStyle w:val="normal0"/>
        <w:shd w:val="clear" w:color="auto" w:fill="FFFFFF"/>
        <w:jc w:val="center"/>
        <w:rPr>
          <w:rFonts w:ascii="Times New Roman" w:eastAsia="Calibri" w:hAnsi="Times New Roman" w:cs="Times New Roman"/>
          <w:color w:val="FF0000"/>
          <w:sz w:val="24"/>
          <w:szCs w:val="24"/>
        </w:rPr>
      </w:pPr>
      <w:r w:rsidRPr="00CE4D78">
        <w:rPr>
          <w:rFonts w:ascii="Times New Roman" w:eastAsia="Calibri" w:hAnsi="Times New Roman" w:cs="Times New Roman"/>
          <w:b/>
          <w:sz w:val="24"/>
          <w:szCs w:val="24"/>
        </w:rPr>
        <w:t xml:space="preserve">CHAMAMENTO PÚBLICO </w:t>
      </w:r>
      <w:r w:rsidR="002310C0">
        <w:rPr>
          <w:rFonts w:ascii="Times New Roman" w:eastAsia="Calibri" w:hAnsi="Times New Roman" w:cs="Times New Roman"/>
          <w:b/>
          <w:sz w:val="24"/>
          <w:szCs w:val="24"/>
          <w:lang w:val="pt-BR"/>
        </w:rPr>
        <w:t>01</w:t>
      </w:r>
      <w:r w:rsidRPr="00CE4D78">
        <w:rPr>
          <w:rFonts w:ascii="Times New Roman" w:eastAsia="Calibri" w:hAnsi="Times New Roman" w:cs="Times New Roman"/>
          <w:b/>
          <w:sz w:val="24"/>
          <w:szCs w:val="24"/>
        </w:rPr>
        <w:t>/202</w:t>
      </w:r>
      <w:r w:rsidR="008217A7">
        <w:rPr>
          <w:rFonts w:ascii="Times New Roman" w:eastAsia="Calibri" w:hAnsi="Times New Roman" w:cs="Times New Roman"/>
          <w:b/>
          <w:sz w:val="24"/>
          <w:szCs w:val="24"/>
        </w:rPr>
        <w:t>5</w:t>
      </w:r>
      <w:bookmarkStart w:id="0" w:name="_GoBack"/>
      <w:bookmarkEnd w:id="0"/>
      <w:r w:rsidR="00CE4D78" w:rsidRPr="00CE4D78">
        <w:rPr>
          <w:rFonts w:ascii="Times New Roman" w:eastAsia="Calibri" w:hAnsi="Times New Roman" w:cs="Times New Roman"/>
          <w:color w:val="FF0000"/>
          <w:sz w:val="24"/>
          <w:szCs w:val="24"/>
        </w:rPr>
        <w:t xml:space="preserve"> </w:t>
      </w:r>
    </w:p>
    <w:p w:rsidR="00761619" w:rsidRDefault="00761619" w:rsidP="00761619">
      <w:pPr>
        <w:pStyle w:val="normal0"/>
        <w:shd w:val="clear" w:color="auto" w:fill="FFFFFF"/>
        <w:jc w:val="center"/>
        <w:rPr>
          <w:rFonts w:ascii="Times New Roman" w:eastAsia="Calibri" w:hAnsi="Times New Roman" w:cs="Times New Roman"/>
          <w:sz w:val="24"/>
          <w:szCs w:val="24"/>
        </w:rPr>
      </w:pPr>
    </w:p>
    <w:p w:rsidR="00151898" w:rsidRPr="00CE4D78" w:rsidRDefault="00CE4D78" w:rsidP="00761619">
      <w:pPr>
        <w:pStyle w:val="normal0"/>
        <w:shd w:val="clear" w:color="auto" w:fill="FFFFFF"/>
        <w:jc w:val="center"/>
        <w:rPr>
          <w:rFonts w:ascii="Times New Roman" w:eastAsia="Calibri" w:hAnsi="Times New Roman" w:cs="Times New Roman"/>
          <w:color w:val="FF0000"/>
          <w:sz w:val="24"/>
          <w:szCs w:val="24"/>
        </w:rPr>
      </w:pPr>
      <w:r w:rsidRPr="00CE4D78">
        <w:rPr>
          <w:rFonts w:ascii="Times New Roman" w:eastAsia="Calibri" w:hAnsi="Times New Roman" w:cs="Times New Roman"/>
          <w:sz w:val="24"/>
          <w:szCs w:val="24"/>
        </w:rPr>
        <w:t>REDE</w:t>
      </w:r>
      <w:r w:rsidR="00C5519E" w:rsidRPr="00CE4D78">
        <w:rPr>
          <w:rFonts w:ascii="Times New Roman" w:eastAsia="Calibri" w:hAnsi="Times New Roman" w:cs="Times New Roman"/>
          <w:sz w:val="24"/>
          <w:szCs w:val="24"/>
        </w:rPr>
        <w:t xml:space="preserve"> MUNICIPAL</w:t>
      </w:r>
      <w:r w:rsidRPr="00CE4D78">
        <w:rPr>
          <w:rFonts w:ascii="Times New Roman" w:eastAsia="Calibri" w:hAnsi="Times New Roman" w:cs="Times New Roman"/>
          <w:color w:val="FF0000"/>
          <w:sz w:val="24"/>
          <w:szCs w:val="24"/>
        </w:rPr>
        <w:t xml:space="preserve"> </w:t>
      </w:r>
      <w:r w:rsidRPr="00CE4D78">
        <w:rPr>
          <w:rFonts w:ascii="Times New Roman" w:eastAsia="Calibri" w:hAnsi="Times New Roman" w:cs="Times New Roman"/>
          <w:sz w:val="24"/>
          <w:szCs w:val="24"/>
        </w:rPr>
        <w:t>DE PONTOS DE CULTURA DE</w:t>
      </w:r>
      <w:r w:rsidR="008217A7">
        <w:rPr>
          <w:rFonts w:ascii="Times New Roman" w:eastAsia="Calibri" w:hAnsi="Times New Roman" w:cs="Times New Roman"/>
          <w:sz w:val="24"/>
          <w:szCs w:val="24"/>
        </w:rPr>
        <w:t xml:space="preserve"> MOCOCA</w:t>
      </w:r>
      <w:r w:rsidR="00C5519E" w:rsidRPr="00CE4D78">
        <w:rPr>
          <w:rFonts w:ascii="Times New Roman" w:eastAsia="Calibri" w:hAnsi="Times New Roman" w:cs="Times New Roman"/>
          <w:sz w:val="24"/>
          <w:szCs w:val="24"/>
        </w:rPr>
        <w:t xml:space="preserve"> - SP</w:t>
      </w:r>
      <w:r w:rsidRPr="00CE4D78">
        <w:rPr>
          <w:rFonts w:ascii="Times New Roman" w:eastAsia="Calibri" w:hAnsi="Times New Roman" w:cs="Times New Roman"/>
          <w:color w:val="FF0000"/>
          <w:sz w:val="24"/>
          <w:szCs w:val="24"/>
        </w:rPr>
        <w:t xml:space="preserve"> </w:t>
      </w:r>
    </w:p>
    <w:p w:rsidR="00151898" w:rsidRPr="00CE4D78" w:rsidRDefault="00CE4D78">
      <w:pPr>
        <w:pStyle w:val="normal0"/>
        <w:shd w:val="clear" w:color="auto" w:fill="FFFFFF"/>
        <w:jc w:val="both"/>
        <w:rPr>
          <w:rFonts w:ascii="Times New Roman" w:eastAsia="Calibri" w:hAnsi="Times New Roman" w:cs="Times New Roman"/>
          <w:sz w:val="24"/>
          <w:szCs w:val="24"/>
        </w:rPr>
      </w:pPr>
      <w:r w:rsidRPr="00CE4D78">
        <w:rPr>
          <w:rFonts w:ascii="Times New Roman" w:eastAsia="Calibri" w:hAnsi="Times New Roman" w:cs="Times New Roman"/>
          <w:sz w:val="24"/>
          <w:szCs w:val="24"/>
        </w:rPr>
        <w:t xml:space="preserve"> </w:t>
      </w:r>
    </w:p>
    <w:p w:rsidR="00151898" w:rsidRPr="00CE4D78" w:rsidRDefault="00CE4D78">
      <w:pPr>
        <w:pStyle w:val="normal0"/>
        <w:shd w:val="clear" w:color="auto" w:fill="FFFFFF"/>
        <w:jc w:val="center"/>
        <w:rPr>
          <w:rFonts w:ascii="Times New Roman" w:eastAsia="Calibri" w:hAnsi="Times New Roman" w:cs="Times New Roman"/>
          <w:sz w:val="24"/>
          <w:szCs w:val="24"/>
        </w:rPr>
      </w:pPr>
      <w:r w:rsidRPr="00CE4D78">
        <w:rPr>
          <w:rFonts w:ascii="Times New Roman" w:eastAsia="Calibri" w:hAnsi="Times New Roman" w:cs="Times New Roman"/>
          <w:b/>
          <w:sz w:val="24"/>
          <w:szCs w:val="24"/>
        </w:rPr>
        <w:t>CULTURA VIVA DO TAMANHO DO BRASIL!</w:t>
      </w:r>
      <w:r w:rsidRPr="00CE4D78">
        <w:rPr>
          <w:rFonts w:ascii="Times New Roman" w:eastAsia="Calibri" w:hAnsi="Times New Roman" w:cs="Times New Roman"/>
          <w:sz w:val="24"/>
          <w:szCs w:val="24"/>
        </w:rPr>
        <w:t xml:space="preserve"> </w:t>
      </w:r>
    </w:p>
    <w:p w:rsidR="00A20C37" w:rsidRPr="00A20C37" w:rsidRDefault="00A20C37" w:rsidP="00A20C37">
      <w:pPr>
        <w:shd w:val="clear" w:color="auto" w:fill="FFFFFF"/>
        <w:ind w:left="1" w:hanging="3"/>
        <w:jc w:val="center"/>
        <w:rPr>
          <w:rFonts w:ascii="Times New Roman" w:eastAsia="Calibri" w:hAnsi="Times New Roman" w:cs="Times New Roman"/>
          <w:b/>
          <w:smallCaps/>
          <w:sz w:val="24"/>
          <w:szCs w:val="24"/>
        </w:rPr>
      </w:pPr>
      <w:r w:rsidRPr="00A20C37">
        <w:rPr>
          <w:rFonts w:ascii="Times New Roman" w:eastAsia="Calibri" w:hAnsi="Times New Roman" w:cs="Times New Roman"/>
          <w:b/>
          <w:sz w:val="24"/>
          <w:szCs w:val="24"/>
        </w:rPr>
        <w:t>PREMIAÇÃO DE PONTOS E PONTÕES DE CULTURA</w:t>
      </w:r>
    </w:p>
    <w:p w:rsidR="00151898" w:rsidRPr="00CE4D78" w:rsidRDefault="00151898">
      <w:pPr>
        <w:pStyle w:val="normal0"/>
        <w:shd w:val="clear" w:color="auto" w:fill="FFFFFF"/>
        <w:spacing w:line="240" w:lineRule="auto"/>
        <w:jc w:val="center"/>
        <w:rPr>
          <w:rFonts w:ascii="Times New Roman" w:eastAsia="Calibri" w:hAnsi="Times New Roman" w:cs="Times New Roman"/>
          <w:sz w:val="24"/>
          <w:szCs w:val="24"/>
        </w:rPr>
      </w:pPr>
    </w:p>
    <w:p w:rsidR="00151898" w:rsidRPr="00CE4D78" w:rsidRDefault="002C27FF">
      <w:pPr>
        <w:pStyle w:val="normal0"/>
        <w:tabs>
          <w:tab w:val="center" w:pos="0"/>
        </w:tabs>
        <w:spacing w:before="120" w:after="120" w:line="240" w:lineRule="auto"/>
        <w:jc w:val="cente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 xml:space="preserve">ANEXO 01 - </w:t>
      </w:r>
      <w:r w:rsidR="00CE4D78" w:rsidRPr="00CE4D78">
        <w:rPr>
          <w:rFonts w:ascii="Times New Roman" w:eastAsia="Calibri" w:hAnsi="Times New Roman" w:cs="Times New Roman"/>
          <w:b/>
          <w:sz w:val="24"/>
          <w:szCs w:val="24"/>
          <w:u w:val="single"/>
        </w:rPr>
        <w:t xml:space="preserve"> </w:t>
      </w:r>
      <w:r w:rsidR="0059398F">
        <w:rPr>
          <w:rFonts w:ascii="Times New Roman" w:eastAsia="Calibri" w:hAnsi="Times New Roman" w:cs="Times New Roman"/>
          <w:b/>
          <w:sz w:val="24"/>
          <w:szCs w:val="24"/>
          <w:u w:val="single"/>
        </w:rPr>
        <w:t xml:space="preserve">CATEGORIAS E </w:t>
      </w:r>
      <w:r w:rsidR="00CE4D78" w:rsidRPr="00CE4D78">
        <w:rPr>
          <w:rFonts w:ascii="Times New Roman" w:eastAsia="Calibri" w:hAnsi="Times New Roman" w:cs="Times New Roman"/>
          <w:b/>
          <w:sz w:val="24"/>
          <w:szCs w:val="24"/>
          <w:u w:val="single"/>
        </w:rPr>
        <w:t>COTAS</w:t>
      </w:r>
    </w:p>
    <w:p w:rsidR="00151898" w:rsidRPr="00CE4D78" w:rsidRDefault="00151898">
      <w:pPr>
        <w:pStyle w:val="normal0"/>
        <w:tabs>
          <w:tab w:val="center" w:pos="0"/>
        </w:tabs>
        <w:spacing w:after="120" w:line="240" w:lineRule="auto"/>
        <w:jc w:val="both"/>
        <w:rPr>
          <w:rFonts w:ascii="Times New Roman" w:eastAsia="Calibri" w:hAnsi="Times New Roman" w:cs="Times New Roman"/>
          <w:b/>
          <w:sz w:val="24"/>
          <w:szCs w:val="24"/>
        </w:rPr>
      </w:pPr>
    </w:p>
    <w:p w:rsidR="00E02A36" w:rsidRDefault="00E02A36">
      <w:pPr>
        <w:pStyle w:val="normal0"/>
        <w:tabs>
          <w:tab w:val="center" w:pos="0"/>
        </w:tabs>
        <w:spacing w:after="120" w:line="240" w:lineRule="auto"/>
        <w:jc w:val="both"/>
        <w:rPr>
          <w:rFonts w:ascii="Times New Roman" w:eastAsia="Calibri" w:hAnsi="Times New Roman" w:cs="Times New Roman"/>
          <w:b/>
          <w:sz w:val="24"/>
          <w:szCs w:val="24"/>
          <w:u w:val="single"/>
          <w:lang w:val="pt-BR"/>
        </w:rPr>
      </w:pPr>
    </w:p>
    <w:p w:rsidR="0059398F" w:rsidRDefault="006E7F21">
      <w:pPr>
        <w:pStyle w:val="normal0"/>
        <w:tabs>
          <w:tab w:val="center" w:pos="0"/>
        </w:tabs>
        <w:spacing w:after="12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u w:val="single"/>
        </w:rPr>
        <w:t>CATEGORIA</w:t>
      </w:r>
      <w:r>
        <w:rPr>
          <w:rFonts w:ascii="Times New Roman" w:eastAsia="Calibri" w:hAnsi="Times New Roman" w:cs="Times New Roman"/>
          <w:b/>
          <w:sz w:val="24"/>
          <w:szCs w:val="24"/>
        </w:rPr>
        <w:t>: Livre.</w:t>
      </w:r>
    </w:p>
    <w:p w:rsidR="006E7F21" w:rsidRPr="00A561CF" w:rsidRDefault="00A561CF" w:rsidP="00A561CF">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t>São elegíveis para</w:t>
      </w:r>
      <w:r w:rsidR="00EB64C6">
        <w:rPr>
          <w:rFonts w:ascii="Times New Roman" w:hAnsi="Times New Roman" w:cs="Times New Roman"/>
          <w:sz w:val="24"/>
        </w:rPr>
        <w:t xml:space="preserve"> inscrição neste Chamamento Público</w:t>
      </w:r>
      <w:r w:rsidRPr="00584F27">
        <w:rPr>
          <w:rFonts w:ascii="Times New Roman" w:hAnsi="Times New Roman" w:cs="Times New Roman"/>
          <w:sz w:val="24"/>
        </w:rPr>
        <w:t xml:space="preserve"> </w:t>
      </w:r>
      <w:r w:rsidR="008B20C5" w:rsidRPr="0041614A">
        <w:rPr>
          <w:rFonts w:ascii="Times New Roman" w:eastAsia="Calibri" w:hAnsi="Times New Roman" w:cs="Times New Roman"/>
          <w:sz w:val="24"/>
          <w:szCs w:val="24"/>
        </w:rPr>
        <w:t>projetos, iniciativas, atividades ou ações de Pontos e Pontões de Cultura</w:t>
      </w:r>
      <w:r w:rsidR="008B20C5">
        <w:rPr>
          <w:rFonts w:ascii="Times New Roman" w:eastAsia="Calibri" w:hAnsi="Times New Roman" w:cs="Times New Roman"/>
          <w:sz w:val="24"/>
          <w:szCs w:val="24"/>
        </w:rPr>
        <w:t xml:space="preserve"> </w:t>
      </w:r>
      <w:r w:rsidRPr="00584F27">
        <w:rPr>
          <w:rFonts w:ascii="Times New Roman" w:hAnsi="Times New Roman" w:cs="Times New Roman"/>
          <w:sz w:val="24"/>
        </w:rPr>
        <w:t>que se enquadrem em uma das seguintes áreas de atuação:</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Artes cênicas:</w:t>
      </w:r>
      <w:r w:rsidRPr="00584F27">
        <w:rPr>
          <w:rFonts w:ascii="Times New Roman" w:eastAsia="Times New Roman" w:hAnsi="Times New Roman" w:cs="Times New Roman"/>
          <w:sz w:val="24"/>
        </w:rPr>
        <w:t xml:space="preserve"> teatro, dança, cir</w:t>
      </w:r>
      <w:r>
        <w:rPr>
          <w:rFonts w:ascii="Times New Roman" w:eastAsia="Times New Roman" w:hAnsi="Times New Roman" w:cs="Times New Roman"/>
          <w:sz w:val="24"/>
        </w:rPr>
        <w:t xml:space="preserve">co, performance, ópera, </w:t>
      </w:r>
      <w:r w:rsidRPr="00584F27">
        <w:rPr>
          <w:rFonts w:ascii="Times New Roman" w:eastAsia="Times New Roman" w:hAnsi="Times New Roman" w:cs="Times New Roman"/>
          <w:sz w:val="24"/>
        </w:rPr>
        <w:t>bonecos, etc.;</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Música:</w:t>
      </w:r>
      <w:r w:rsidRPr="00584F27">
        <w:rPr>
          <w:rFonts w:ascii="Times New Roman" w:eastAsia="Times New Roman" w:hAnsi="Times New Roman" w:cs="Times New Roman"/>
          <w:sz w:val="24"/>
        </w:rPr>
        <w:t xml:space="preserve"> concertos, recitais, festivais, oficinas, produção fonográfica, etc.;</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Literatura:</w:t>
      </w:r>
      <w:r w:rsidRPr="00584F27">
        <w:rPr>
          <w:rFonts w:ascii="Times New Roman" w:eastAsia="Times New Roman" w:hAnsi="Times New Roman" w:cs="Times New Roman"/>
          <w:sz w:val="24"/>
        </w:rPr>
        <w:t xml:space="preserve"> lançamentos de livros, leituras dramatizadas, oficinas literárias, etc.;</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Artes visuais:</w:t>
      </w:r>
      <w:r w:rsidRPr="00584F27">
        <w:rPr>
          <w:rFonts w:ascii="Times New Roman" w:eastAsia="Times New Roman" w:hAnsi="Times New Roman" w:cs="Times New Roman"/>
          <w:sz w:val="24"/>
        </w:rPr>
        <w:t xml:space="preserve"> pintura, escultura, fotograf</w:t>
      </w:r>
      <w:r>
        <w:rPr>
          <w:rFonts w:ascii="Times New Roman" w:eastAsia="Times New Roman" w:hAnsi="Times New Roman" w:cs="Times New Roman"/>
          <w:sz w:val="24"/>
        </w:rPr>
        <w:t>ia, desenho, gravura</w:t>
      </w:r>
      <w:r w:rsidRPr="00584F27">
        <w:rPr>
          <w:rFonts w:ascii="Times New Roman" w:eastAsia="Times New Roman" w:hAnsi="Times New Roman" w:cs="Times New Roman"/>
          <w:sz w:val="24"/>
        </w:rPr>
        <w:t>, etc.;</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Audiovisual:</w:t>
      </w:r>
      <w:r w:rsidRPr="00584F27">
        <w:rPr>
          <w:rFonts w:ascii="Times New Roman" w:eastAsia="Times New Roman" w:hAnsi="Times New Roman" w:cs="Times New Roman"/>
          <w:sz w:val="24"/>
        </w:rPr>
        <w:t xml:space="preserve"> produção de filmes, curtas-metragens, documentários, séries, etc.;</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Patrimônio cultural:</w:t>
      </w:r>
      <w:r w:rsidRPr="00584F27">
        <w:rPr>
          <w:rFonts w:ascii="Times New Roman" w:eastAsia="Times New Roman" w:hAnsi="Times New Roman" w:cs="Times New Roman"/>
          <w:sz w:val="24"/>
        </w:rPr>
        <w:t xml:space="preserve"> pesquisa, registro, difusão e valorização do patrimônio cultural material e imaterial;</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Cultura popular:</w:t>
      </w:r>
      <w:r w:rsidRPr="00584F27">
        <w:rPr>
          <w:rFonts w:ascii="Times New Roman" w:eastAsia="Times New Roman" w:hAnsi="Times New Roman" w:cs="Times New Roman"/>
          <w:sz w:val="24"/>
        </w:rPr>
        <w:t xml:space="preserve"> manifestações populares tradicionais, folclore, música popular, artesanato, etc.;</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Capoeira:</w:t>
      </w:r>
      <w:r w:rsidRPr="00584F27">
        <w:rPr>
          <w:rFonts w:ascii="Times New Roman" w:eastAsia="Times New Roman" w:hAnsi="Times New Roman" w:cs="Times New Roman"/>
          <w:sz w:val="24"/>
        </w:rPr>
        <w:t xml:space="preserve"> oficinas, rodas de capoeira, apresentações, etc.;</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Promoção da Diversidade Cultural:</w:t>
      </w:r>
      <w:r w:rsidRPr="00584F27">
        <w:rPr>
          <w:rFonts w:ascii="Times New Roman" w:eastAsia="Times New Roman" w:hAnsi="Times New Roman" w:cs="Times New Roman"/>
          <w:sz w:val="24"/>
        </w:rPr>
        <w:t xml:space="preserve"> ações que valorizem a diversidade cultural e a inclusão social, com foco na população negra, indígena, LGBTQIA+, pessoas com deficiência, etc.;</w:t>
      </w:r>
    </w:p>
    <w:p w:rsidR="006E7F21" w:rsidRPr="00584F27"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Formação e Capacitação em Cultura:</w:t>
      </w:r>
      <w:r w:rsidRPr="00584F27">
        <w:rPr>
          <w:rFonts w:ascii="Times New Roman" w:eastAsia="Times New Roman" w:hAnsi="Times New Roman" w:cs="Times New Roman"/>
          <w:sz w:val="24"/>
        </w:rPr>
        <w:t xml:space="preserve"> oficinas, cursos, seminários, palestras, etc., voltados para a formação e capacitação de profissionais da cultura;</w:t>
      </w:r>
    </w:p>
    <w:p w:rsidR="006E7F21" w:rsidRPr="00A561CF" w:rsidRDefault="006E7F21" w:rsidP="006E7F21">
      <w:pPr>
        <w:numPr>
          <w:ilvl w:val="0"/>
          <w:numId w:val="1"/>
        </w:numPr>
        <w:spacing w:before="100" w:beforeAutospacing="1" w:after="100" w:afterAutospacing="1"/>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Cultura Digital:</w:t>
      </w:r>
      <w:r w:rsidRPr="00584F27">
        <w:rPr>
          <w:rFonts w:ascii="Times New Roman" w:eastAsia="Times New Roman" w:hAnsi="Times New Roman" w:cs="Times New Roman"/>
          <w:sz w:val="24"/>
        </w:rPr>
        <w:t xml:space="preserve"> produção de conteúdo digital, desenvolvimento de plataformas online, real</w:t>
      </w:r>
      <w:r w:rsidR="00A561CF">
        <w:rPr>
          <w:rFonts w:ascii="Times New Roman" w:eastAsia="Times New Roman" w:hAnsi="Times New Roman" w:cs="Times New Roman"/>
          <w:sz w:val="24"/>
        </w:rPr>
        <w:t>ização de eventos virtuais, etc.</w:t>
      </w:r>
    </w:p>
    <w:p w:rsidR="0059398F" w:rsidRDefault="0059398F">
      <w:pPr>
        <w:pStyle w:val="normal0"/>
        <w:tabs>
          <w:tab w:val="center" w:pos="0"/>
        </w:tabs>
        <w:spacing w:after="120" w:line="240" w:lineRule="auto"/>
        <w:jc w:val="both"/>
        <w:rPr>
          <w:rFonts w:ascii="Times New Roman" w:eastAsia="Calibri" w:hAnsi="Times New Roman" w:cs="Times New Roman"/>
          <w:b/>
          <w:sz w:val="24"/>
          <w:szCs w:val="24"/>
          <w:u w:val="single"/>
        </w:rPr>
      </w:pPr>
    </w:p>
    <w:p w:rsidR="00A34925" w:rsidRPr="00A34925" w:rsidRDefault="00A34925">
      <w:pPr>
        <w:pStyle w:val="normal0"/>
        <w:tabs>
          <w:tab w:val="center" w:pos="0"/>
        </w:tabs>
        <w:spacing w:after="120"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 xml:space="preserve">Visando à desconcentração territorial e à regionalização, o presente Chamamento Público atende o Cap. VI da </w:t>
      </w:r>
      <w:r w:rsidRPr="00DF014C">
        <w:rPr>
          <w:rFonts w:ascii="Times New Roman" w:eastAsia="Calibri" w:hAnsi="Times New Roman" w:cs="Times New Roman"/>
          <w:b/>
          <w:sz w:val="24"/>
          <w:szCs w:val="24"/>
        </w:rPr>
        <w:t>IN 10 DE 28 DE DEZEMBRO DE 2023</w:t>
      </w:r>
      <w:r w:rsidRPr="00A34925">
        <w:rPr>
          <w:rFonts w:ascii="Times New Roman" w:eastAsia="Calibri" w:hAnsi="Times New Roman" w:cs="Times New Roman"/>
          <w:sz w:val="24"/>
          <w:szCs w:val="24"/>
        </w:rPr>
        <w:t>, em especial:</w:t>
      </w:r>
    </w:p>
    <w:p w:rsidR="00A34925" w:rsidRPr="00CC189E" w:rsidRDefault="00A34925" w:rsidP="00CC189E"/>
    <w:p w:rsid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b/>
          <w:sz w:val="24"/>
          <w:szCs w:val="24"/>
        </w:rPr>
        <w:t>Art. 15</w:t>
      </w:r>
      <w:r w:rsidRPr="00A34925">
        <w:rPr>
          <w:rFonts w:ascii="Times New Roman" w:eastAsia="Calibri" w:hAnsi="Times New Roman" w:cs="Times New Roman"/>
          <w:sz w:val="24"/>
          <w:szCs w:val="24"/>
        </w:rPr>
        <w:t xml:space="preserve">. Os entes deverão instituir mecanismos de desconcentração territorial e regionalização dos recursos, inclusive com vistas à implementação do percentual de 20% (vinte por cento) de que trata o art. 6º, II, da PNAB, em ações de incentivo direto a programas, a projetos e a ações de democratização do acesso à fruição e à produção artística e </w:t>
      </w:r>
      <w:r w:rsidRPr="00A34925">
        <w:rPr>
          <w:rFonts w:ascii="Times New Roman" w:eastAsia="Calibri" w:hAnsi="Times New Roman" w:cs="Times New Roman"/>
          <w:sz w:val="24"/>
          <w:szCs w:val="24"/>
        </w:rPr>
        <w:lastRenderedPageBreak/>
        <w:t>cultural em áreas periféricas, urbanas e rurais, e em territórios e regiões de maior vulnerabilidade econômica ou social, bem como em áreas de povos e comunidades tradicionais, quais sejam:</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I - regiões periféricas;</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II - regiões com menor Índice de Desenvolvimento Humano - IDH;</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III - regiões onde são localizados conjuntos e empreendimentos habitacionais, e programas habitacionais de interesse social, promovidos por programas do governo federal ou local;</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IV - assentamentos e acampamentos;</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V - regiões com menor presença de espaços e equipamentos culturais públicos;</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VI - regiões com menor histórico de acesso aos recursos da política pública de cultura;</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VII - zonas especiais de interesse social; VIII - áreas atingidas por desastres naturais;</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IX - territórios quilombolas;</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X - territórios indígenas;</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XI - territórios rurais;</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XII - espaços comunitários de convivência, acolhimento e alimentação; e</w:t>
      </w:r>
    </w:p>
    <w:p w:rsid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XIII - demais regiões que sejam habitadas por pessoas em situação de vulnerabilidade econômica ou social.</w:t>
      </w: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 1º As ações afirmativas de que tratam o caput podem ser empregadas quando os projetos são realizados nos territórios e regiões ou quando são propostos por agentes culturais nelas residentes.</w:t>
      </w:r>
    </w:p>
    <w:p w:rsidR="00A34925" w:rsidRDefault="00A34925" w:rsidP="00A34925">
      <w:pPr>
        <w:pStyle w:val="normal0"/>
        <w:tabs>
          <w:tab w:val="center" w:pos="0"/>
        </w:tabs>
        <w:spacing w:line="240" w:lineRule="auto"/>
        <w:jc w:val="both"/>
        <w:rPr>
          <w:rFonts w:ascii="Times New Roman" w:eastAsia="Calibri" w:hAnsi="Times New Roman" w:cs="Times New Roman"/>
          <w:sz w:val="24"/>
          <w:szCs w:val="24"/>
        </w:rPr>
      </w:pPr>
    </w:p>
    <w:p w:rsidR="00A34925" w:rsidRPr="00A34925" w:rsidRDefault="00A34925" w:rsidP="00A34925">
      <w:pPr>
        <w:pStyle w:val="normal0"/>
        <w:tabs>
          <w:tab w:val="center" w:pos="0"/>
        </w:tabs>
        <w:spacing w:line="240" w:lineRule="auto"/>
        <w:jc w:val="both"/>
        <w:rPr>
          <w:rFonts w:ascii="Times New Roman" w:eastAsia="Calibri" w:hAnsi="Times New Roman" w:cs="Times New Roman"/>
          <w:sz w:val="24"/>
          <w:szCs w:val="24"/>
        </w:rPr>
      </w:pPr>
      <w:r w:rsidRPr="00A34925">
        <w:rPr>
          <w:rFonts w:ascii="Times New Roman" w:eastAsia="Calibri" w:hAnsi="Times New Roman" w:cs="Times New Roman"/>
          <w:sz w:val="24"/>
          <w:szCs w:val="24"/>
        </w:rPr>
        <w:t>§ 2º Para fins de aferição do percentual estabelecido no art. 6º, II, da PNAB, serão consideradas apenas as ações e projetos realizados nos territórios e regiões de que tratam este artigo.”</w:t>
      </w:r>
    </w:p>
    <w:p w:rsidR="00A34925" w:rsidRDefault="00A34925">
      <w:pPr>
        <w:pStyle w:val="normal0"/>
        <w:tabs>
          <w:tab w:val="center" w:pos="0"/>
        </w:tabs>
        <w:spacing w:after="120" w:line="240" w:lineRule="auto"/>
        <w:jc w:val="both"/>
        <w:rPr>
          <w:rFonts w:ascii="Times New Roman" w:eastAsia="Calibri" w:hAnsi="Times New Roman" w:cs="Times New Roman"/>
          <w:b/>
          <w:sz w:val="24"/>
          <w:szCs w:val="24"/>
          <w:u w:val="single"/>
        </w:rPr>
      </w:pPr>
    </w:p>
    <w:p w:rsidR="00A34925" w:rsidRDefault="00A34925">
      <w:pPr>
        <w:pStyle w:val="normal0"/>
        <w:tabs>
          <w:tab w:val="center" w:pos="0"/>
        </w:tabs>
        <w:spacing w:after="120" w:line="240" w:lineRule="auto"/>
        <w:jc w:val="both"/>
        <w:rPr>
          <w:rFonts w:ascii="Times New Roman" w:eastAsia="Calibri" w:hAnsi="Times New Roman" w:cs="Times New Roman"/>
          <w:b/>
          <w:sz w:val="24"/>
          <w:szCs w:val="24"/>
          <w:u w:val="single"/>
        </w:rPr>
      </w:pPr>
    </w:p>
    <w:p w:rsidR="00151898" w:rsidRPr="00C80C3D" w:rsidRDefault="00CE4D78" w:rsidP="00C80C3D">
      <w:pPr>
        <w:pStyle w:val="normal0"/>
        <w:tabs>
          <w:tab w:val="center" w:pos="0"/>
        </w:tabs>
        <w:spacing w:after="120" w:line="240" w:lineRule="auto"/>
        <w:jc w:val="both"/>
        <w:rPr>
          <w:rFonts w:ascii="Times New Roman" w:eastAsia="Calibri" w:hAnsi="Times New Roman" w:cs="Times New Roman"/>
          <w:b/>
          <w:sz w:val="24"/>
          <w:szCs w:val="24"/>
          <w:u w:val="single"/>
        </w:rPr>
      </w:pPr>
      <w:r w:rsidRPr="00CE4D78">
        <w:rPr>
          <w:rFonts w:ascii="Times New Roman" w:eastAsia="Calibri" w:hAnsi="Times New Roman" w:cs="Times New Roman"/>
          <w:b/>
          <w:sz w:val="24"/>
          <w:szCs w:val="24"/>
          <w:u w:val="single"/>
        </w:rPr>
        <w:t>COTAS</w:t>
      </w:r>
    </w:p>
    <w:p w:rsidR="00DF014C" w:rsidRDefault="00DF014C">
      <w:pPr>
        <w:pStyle w:val="normal0"/>
        <w:tabs>
          <w:tab w:val="center" w:pos="0"/>
        </w:tabs>
        <w:spacing w:line="240" w:lineRule="auto"/>
        <w:jc w:val="both"/>
        <w:rPr>
          <w:rFonts w:ascii="Times New Roman" w:eastAsia="Calibri" w:hAnsi="Times New Roman" w:cs="Times New Roman"/>
          <w:sz w:val="24"/>
          <w:szCs w:val="24"/>
        </w:rPr>
      </w:pPr>
    </w:p>
    <w:p w:rsidR="00151898" w:rsidRDefault="00DF014C">
      <w:pPr>
        <w:pStyle w:val="normal0"/>
        <w:tabs>
          <w:tab w:val="center" w:pos="0"/>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O Ente Federativo considera</w:t>
      </w:r>
      <w:r w:rsidR="00CE4D78" w:rsidRPr="002C27FF">
        <w:rPr>
          <w:rFonts w:ascii="Times New Roman" w:eastAsia="Calibri" w:hAnsi="Times New Roman" w:cs="Times New Roman"/>
          <w:sz w:val="24"/>
          <w:szCs w:val="24"/>
        </w:rPr>
        <w:t xml:space="preserve"> o conjunto de regramentos previstos na referida IN</w:t>
      </w:r>
      <w:r w:rsidR="003169B7">
        <w:rPr>
          <w:rFonts w:ascii="Times New Roman" w:eastAsia="Calibri" w:hAnsi="Times New Roman" w:cs="Times New Roman"/>
          <w:sz w:val="24"/>
          <w:szCs w:val="24"/>
        </w:rPr>
        <w:t xml:space="preserve"> supracitada</w:t>
      </w:r>
      <w:r w:rsidR="00CE4D78" w:rsidRPr="002C27FF">
        <w:rPr>
          <w:rFonts w:ascii="Times New Roman" w:eastAsia="Calibri" w:hAnsi="Times New Roman" w:cs="Times New Roman"/>
          <w:sz w:val="24"/>
          <w:szCs w:val="24"/>
        </w:rPr>
        <w:t>. Em especial, destaca-se:</w:t>
      </w:r>
    </w:p>
    <w:p w:rsidR="0026190A" w:rsidRPr="002C27FF" w:rsidRDefault="0026190A">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CAPÍTULO II</w:t>
      </w: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DAS POLÍTICAS DE COTAS OU RESERVA DE VAGAS</w:t>
      </w:r>
    </w:p>
    <w:p w:rsidR="0026190A" w:rsidRPr="002C27FF" w:rsidRDefault="0026190A">
      <w:pPr>
        <w:pStyle w:val="normal0"/>
        <w:tabs>
          <w:tab w:val="center" w:pos="0"/>
        </w:tabs>
        <w:spacing w:line="240" w:lineRule="auto"/>
        <w:jc w:val="both"/>
        <w:rPr>
          <w:rFonts w:ascii="Times New Roman" w:eastAsia="Calibri" w:hAnsi="Times New Roman" w:cs="Times New Roman"/>
          <w:sz w:val="24"/>
          <w:szCs w:val="24"/>
        </w:rPr>
      </w:pP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Art. 5º A política de cotas tem como objeto garantir a reserva de um percentual mínimo de vagas a grupos específicos, sendo aplicáveis aos procedimentos públicos de seleção de que trata a Lei nº 14.399, de 2022.</w:t>
      </w:r>
    </w:p>
    <w:p w:rsidR="0026190A" w:rsidRPr="002C27FF" w:rsidRDefault="0026190A">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Art. 6º Ficam garantidas cotas em todos os editais de fomento realizados com recursos da Lei nº 14.399, de 2022, de no mínimo:</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I - vinte e cinco por cento das vagas para pessoas negras (pretas ou pardas);</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II - dez por cento das vagas para pessoas indígenas; e</w:t>
      </w: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III - cinco por cento para pessoas com deficiência.</w:t>
      </w:r>
    </w:p>
    <w:p w:rsidR="00406334" w:rsidRPr="002C27FF" w:rsidRDefault="00406334">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1º O percentual de que trata este artigo pode ser ampliado considerando legislações locais mais benéficas ao público-alvo da ação afirmativa e o quantitativo de pessoas negras, indígenas, e pessoas com deficiência na região.</w:t>
      </w: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lastRenderedPageBreak/>
        <w:t>§ 2º Na hipótese de quantitativo fracionado para o número de vagas reservadas, esse será aumentado para o primeiro número inteiro subsequente, em caso de fração igual ou maior que 0,5 (cinco décimos), ou diminuído para número inteiro imediatamente inferior, em caso de fração menor que 0,5 (cinco décimos).</w:t>
      </w:r>
    </w:p>
    <w:p w:rsidR="001122C5" w:rsidRPr="002C27FF" w:rsidRDefault="001122C5">
      <w:pPr>
        <w:pStyle w:val="normal0"/>
        <w:tabs>
          <w:tab w:val="center" w:pos="0"/>
        </w:tabs>
        <w:spacing w:line="240" w:lineRule="auto"/>
        <w:jc w:val="both"/>
        <w:rPr>
          <w:rFonts w:ascii="Times New Roman" w:eastAsia="Calibri" w:hAnsi="Times New Roman" w:cs="Times New Roman"/>
          <w:sz w:val="24"/>
          <w:szCs w:val="24"/>
        </w:rPr>
      </w:pP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3º Em caso de editais divididos em categorias, devem ser estabelecidas cotas em todas elas, ressalvados os casos de impossibilidade fática, no qual o percentual mínimo de reserva será aplicado ao total das vagas do edital.</w:t>
      </w:r>
    </w:p>
    <w:p w:rsidR="001122C5" w:rsidRPr="002C27FF" w:rsidRDefault="001122C5">
      <w:pPr>
        <w:pStyle w:val="normal0"/>
        <w:tabs>
          <w:tab w:val="center" w:pos="0"/>
        </w:tabs>
        <w:spacing w:line="240" w:lineRule="auto"/>
        <w:jc w:val="both"/>
        <w:rPr>
          <w:rFonts w:ascii="Times New Roman" w:eastAsia="Calibri" w:hAnsi="Times New Roman" w:cs="Times New Roman"/>
          <w:sz w:val="24"/>
          <w:szCs w:val="24"/>
        </w:rPr>
      </w:pP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4º Nos casos excepcionais em que for estabelecido somente uma vaga total por categoria, o ente pode optar por destiná-la à ampla concorrência ou às cotas, garantindo que ao menos vinte e cinco por cento do total das vagas do Edital sejam destinadas a pessoas negras, dez por cento a pessoas indígenas e dez por cento a pessoas com deficiência. (retificação publicada no DOU de 10/01/2024)</w:t>
      </w:r>
    </w:p>
    <w:p w:rsidR="001122C5" w:rsidRPr="002C27FF" w:rsidRDefault="001122C5">
      <w:pPr>
        <w:pStyle w:val="normal0"/>
        <w:tabs>
          <w:tab w:val="center" w:pos="0"/>
        </w:tabs>
        <w:spacing w:line="240" w:lineRule="auto"/>
        <w:jc w:val="both"/>
        <w:rPr>
          <w:rFonts w:ascii="Times New Roman" w:eastAsia="Calibri" w:hAnsi="Times New Roman" w:cs="Times New Roman"/>
          <w:sz w:val="24"/>
          <w:szCs w:val="24"/>
        </w:rPr>
      </w:pP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5º Nos casos de editais específicos de que trata o art. 14, o estabelecimento de cotas para pessoas negras e indígenas pode ser dispensado, caso o edital seja integralmente direcionado a proponentes de grupos étnico-raciais público-alvo de ações afirmativas.</w:t>
      </w:r>
    </w:p>
    <w:p w:rsidR="001122C5" w:rsidRPr="002C27FF" w:rsidRDefault="001122C5">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6º As cotas previstas neste artigo podem ser implementadas juntamente com:</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I - cotas para outros grupos sociais e;</w:t>
      </w: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II - outras ações afirmativas, tais como editais específicos e critérios diferenciados de pontuação.</w:t>
      </w:r>
    </w:p>
    <w:p w:rsidR="001122C5" w:rsidRPr="002C27FF" w:rsidRDefault="001122C5">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Art. 7º Os agentes culturais que optarem por concorrer às cotas concorrerão concomitantemente às vagas destinadas à ampla concorrência, de acordo com a sua classificação no processo.</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1º As pessoas que optarem pelas cotas e atingirem nota suficiente para se classificar no número de vagas oferecidas para ampla concorrência não ocuparão as vagas destinadas para o preenchimento das cotas.</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2º Em caso de desistência de optantes aprovados nas cotas, a vaga não preenchida deverá ser ocupada por pessoa que concorreu às cotas de acordo com a ordem de classificação.</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3º No caso de não existirem propostas aptas em número suficiente para o cumprimento de uma das categorias de cotas previstas na seleção, o número de vagas restantes deverá ser destinado inicialmente para a outra categoria de cotas.</w:t>
      </w: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 4º Caso não haja outra categoria de cotas de que trata o §3º, as vagas não preenchidas deverão ser direcionadas para a ampla concorrência, sendo os demais candidatos selecionados de acordo com a ordem de classificação.</w:t>
      </w:r>
    </w:p>
    <w:p w:rsidR="001122C5" w:rsidRPr="002C27FF" w:rsidRDefault="001122C5">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Art. 8º Para concorrer às cotas, os agentes culturais deverão autodeclarar-se no ato de inscrição, conforme modelos constantes nos Anexo I e II, ou outro modelo disponibilizado pelo ente federativo.</w:t>
      </w:r>
    </w:p>
    <w:p w:rsidR="00151898"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Parágrafo único. A autodeclaração poderá ser apresentada por escrito, em vídeo, áudio, em Libras, ou em outros formatos acessíveis.</w:t>
      </w:r>
    </w:p>
    <w:p w:rsidR="001122C5" w:rsidRPr="002C27FF" w:rsidRDefault="001122C5">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Art. 9º A autodeclaração do agente cultural goza de presunção de veracidade, podendo os Entes Federativos estabelecer em editais procedimentos complementares, tais como:</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I - heteroidentificação: procedimento complementar à autodeclaração de pertencimento racial, para confirmação, por terceiros, da identificação como pessoa negra (preta ou parda) de acordo com seu fenótipo, isto é, conforme suas características físicas;</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lastRenderedPageBreak/>
        <w:t>II - solicitação de carta consubstanciada: documento apresentado em formato escrito, oral ou audiovisual que promove a reflexão sobre o pertencimento étnico-racial, contendo os motivos pelos quais o agente cultural se autodeclara negro (preto ou pardo) ou indígena, conforme modelo constante no Anexo III;</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III - solicitação de um documento em formato escrito, oral ou audiovisual que demonstre o pertencimento étnico do agente cultural indígena elaborado por liderança ou entidade constituída em forma de associação, fundação ou qualquer configuração de entidade formalizada ou não, desde que gerida por povos indígenas;</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IV - procedimento de avaliação biopsicossocial realizada nos termos do § 1º do art. 2º da Lei nº 13.146, de 2015, solicitação de documentos como laudo médico, Certificado da Pessoa com Deficiência ou comprovante de recebimento de Benefício de Prestação Continuada à Pessoa com Deficiência; ou</w:t>
      </w:r>
    </w:p>
    <w:p w:rsidR="00151898" w:rsidRPr="002C27FF" w:rsidRDefault="00CE4D78">
      <w:pPr>
        <w:pStyle w:val="normal0"/>
        <w:tabs>
          <w:tab w:val="center" w:pos="0"/>
        </w:tabs>
        <w:spacing w:line="240" w:lineRule="auto"/>
        <w:jc w:val="both"/>
        <w:rPr>
          <w:rFonts w:ascii="Times New Roman" w:eastAsia="Calibri" w:hAnsi="Times New Roman" w:cs="Times New Roman"/>
          <w:sz w:val="24"/>
          <w:szCs w:val="24"/>
        </w:rPr>
      </w:pPr>
      <w:r w:rsidRPr="002C27FF">
        <w:rPr>
          <w:rFonts w:ascii="Times New Roman" w:eastAsia="Calibri" w:hAnsi="Times New Roman" w:cs="Times New Roman"/>
          <w:sz w:val="24"/>
          <w:szCs w:val="24"/>
        </w:rPr>
        <w:t>V - outras estratégias com vistas a garantir que as cotas sejam destinadas a pessoas negras, indígenas ou com deficiência.</w:t>
      </w:r>
    </w:p>
    <w:p w:rsidR="0038599D" w:rsidRDefault="0038599D">
      <w:pPr>
        <w:pStyle w:val="normal0"/>
        <w:tabs>
          <w:tab w:val="center" w:pos="0"/>
        </w:tabs>
        <w:spacing w:line="240" w:lineRule="auto"/>
        <w:jc w:val="both"/>
        <w:rPr>
          <w:rFonts w:ascii="Times New Roman" w:eastAsia="Calibri" w:hAnsi="Times New Roman" w:cs="Times New Roman"/>
          <w:sz w:val="24"/>
          <w:szCs w:val="24"/>
          <w:lang w:val="pt-BR"/>
        </w:rPr>
      </w:pPr>
    </w:p>
    <w:p w:rsidR="00151898" w:rsidRPr="002C27FF" w:rsidRDefault="00151898">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151898">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151898">
      <w:pPr>
        <w:pStyle w:val="normal0"/>
        <w:tabs>
          <w:tab w:val="center" w:pos="0"/>
        </w:tabs>
        <w:spacing w:line="240" w:lineRule="auto"/>
        <w:jc w:val="both"/>
        <w:rPr>
          <w:rFonts w:ascii="Times New Roman" w:eastAsia="Calibri" w:hAnsi="Times New Roman" w:cs="Times New Roman"/>
          <w:sz w:val="24"/>
          <w:szCs w:val="24"/>
        </w:rPr>
      </w:pPr>
    </w:p>
    <w:p w:rsidR="00151898" w:rsidRPr="002C27FF" w:rsidRDefault="00151898">
      <w:pPr>
        <w:pStyle w:val="normal0"/>
        <w:tabs>
          <w:tab w:val="center" w:pos="0"/>
        </w:tabs>
        <w:spacing w:line="240" w:lineRule="auto"/>
        <w:jc w:val="both"/>
        <w:rPr>
          <w:rFonts w:ascii="Times New Roman" w:eastAsia="Calibri" w:hAnsi="Times New Roman" w:cs="Times New Roman"/>
          <w:sz w:val="24"/>
          <w:szCs w:val="24"/>
        </w:rPr>
      </w:pPr>
    </w:p>
    <w:sectPr w:rsidR="00151898" w:rsidRPr="002C27FF" w:rsidSect="00871D06">
      <w:headerReference w:type="default" r:id="rId7"/>
      <w:pgSz w:w="11909" w:h="16834"/>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4B4" w:rsidRDefault="006174B4">
      <w:pPr>
        <w:spacing w:line="240" w:lineRule="auto"/>
      </w:pPr>
      <w:r>
        <w:separator/>
      </w:r>
    </w:p>
  </w:endnote>
  <w:endnote w:type="continuationSeparator" w:id="0">
    <w:p w:rsidR="006174B4" w:rsidRDefault="006174B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4B4" w:rsidRDefault="006174B4">
      <w:pPr>
        <w:spacing w:line="240" w:lineRule="auto"/>
      </w:pPr>
      <w:r>
        <w:separator/>
      </w:r>
    </w:p>
  </w:footnote>
  <w:footnote w:type="continuationSeparator" w:id="0">
    <w:p w:rsidR="006174B4" w:rsidRDefault="006174B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F21" w:rsidRDefault="002310C0">
    <w:pPr>
      <w:pStyle w:val="normal0"/>
      <w:tabs>
        <w:tab w:val="center" w:pos="4252"/>
        <w:tab w:val="right" w:pos="8504"/>
      </w:tabs>
      <w:spacing w:line="240" w:lineRule="auto"/>
      <w:jc w:val="center"/>
    </w:pPr>
    <w:r w:rsidRPr="002310C0">
      <w:drawing>
        <wp:anchor distT="0" distB="0" distL="114300" distR="114300" simplePos="0" relativeHeight="251663360" behindDoc="0" locked="0" layoutInCell="1" allowOverlap="1">
          <wp:simplePos x="0" y="0"/>
          <wp:positionH relativeFrom="margin">
            <wp:posOffset>-133350</wp:posOffset>
          </wp:positionH>
          <wp:positionV relativeFrom="margin">
            <wp:posOffset>-641350</wp:posOffset>
          </wp:positionV>
          <wp:extent cx="1921510" cy="425450"/>
          <wp:effectExtent l="19050" t="0" r="2540" b="0"/>
          <wp:wrapSquare wrapText="bothSides"/>
          <wp:docPr id="1" name="Imagem 1" descr="C:\Users\Pc\Desktop\Arquivos Gerais 2023\Brasão\Brasão Secretaria sem fundo OFI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Arquivos Gerais 2023\Brasão\Brasão Secretaria sem fundo OFICIAL.JPG"/>
                  <pic:cNvPicPr>
                    <a:picLocks noChangeAspect="1" noChangeArrowheads="1"/>
                  </pic:cNvPicPr>
                </pic:nvPicPr>
                <pic:blipFill>
                  <a:blip r:embed="rId1"/>
                  <a:srcRect/>
                  <a:stretch>
                    <a:fillRect/>
                  </a:stretch>
                </pic:blipFill>
                <pic:spPr bwMode="auto">
                  <a:xfrm>
                    <a:off x="0" y="0"/>
                    <a:ext cx="1921510" cy="425450"/>
                  </a:xfrm>
                  <a:prstGeom prst="rect">
                    <a:avLst/>
                  </a:prstGeom>
                  <a:noFill/>
                  <a:ln w="9525">
                    <a:noFill/>
                    <a:miter lim="800000"/>
                    <a:headEnd/>
                    <a:tailEnd/>
                  </a:ln>
                </pic:spPr>
              </pic:pic>
            </a:graphicData>
          </a:graphic>
        </wp:anchor>
      </w:drawing>
    </w:r>
    <w:r w:rsidR="00B53B5A" w:rsidRPr="00B53B5A">
      <w:rPr>
        <w:noProof/>
        <w:lang w:val="en-US"/>
      </w:rPr>
      <w:pict>
        <v:rect id="_x0000_s1027" style="position:absolute;left:0;text-align:left;margin-left:15pt;margin-top:-2.95pt;width:103pt;height:44.1pt;z-index:2516592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" filled="f" stroked="f">
          <v:textbox inset="2.53956mm,1.2694mm,2.53956mm,1.2694mm">
            <w:txbxContent>
              <w:p w:rsidR="006E7F21" w:rsidRDefault="006E7F21">
                <w:pPr>
                  <w:pStyle w:val="normal0"/>
                  <w:spacing w:line="275" w:lineRule="auto"/>
                  <w:textDirection w:val="btLr"/>
                </w:pPr>
                <w:r>
                  <w:rPr>
                    <w:color w:val="FFFFFF"/>
                    <w:sz w:val="20"/>
                  </w:rPr>
                  <w:t>Insira sua logo aqui</w:t>
                </w:r>
              </w:p>
            </w:txbxContent>
          </v:textbox>
        </v:rect>
      </w:pict>
    </w:r>
    <w:r w:rsidR="006E7F21">
      <w:rPr>
        <w:noProof/>
        <w:lang w:val="pt-BR" w:eastAsia="pt-BR"/>
      </w:rPr>
      <w:drawing>
        <wp:anchor distT="0" distB="0" distL="114300" distR="114300" simplePos="0" relativeHeight="251661312" behindDoc="0" locked="0" layoutInCell="1" allowOverlap="1">
          <wp:simplePos x="0" y="0"/>
          <wp:positionH relativeFrom="column">
            <wp:posOffset>1516380</wp:posOffset>
          </wp:positionH>
          <wp:positionV relativeFrom="paragraph">
            <wp:posOffset>-186054</wp:posOffset>
          </wp:positionV>
          <wp:extent cx="4154170" cy="51943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8698" b="69069"/>
                  <a:stretch>
                    <a:fillRect/>
                  </a:stretch>
                </pic:blipFill>
                <pic:spPr>
                  <a:xfrm>
                    <a:off x="0" y="0"/>
                    <a:ext cx="4154170" cy="519430"/>
                  </a:xfrm>
                  <a:prstGeom prst="rect">
                    <a:avLst/>
                  </a:prstGeom>
                  <a:ln/>
                </pic:spPr>
              </pic:pic>
            </a:graphicData>
          </a:graphic>
        </wp:anchor>
      </w:drawing>
    </w:r>
  </w:p>
  <w:p w:rsidR="006E7F21" w:rsidRDefault="006E7F21">
    <w:pPr>
      <w:pStyle w:val="normal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hyphenationZone w:val="425"/>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rsids>
    <w:rsidRoot w:val="00151898"/>
    <w:rsid w:val="001122C5"/>
    <w:rsid w:val="00151898"/>
    <w:rsid w:val="002310C0"/>
    <w:rsid w:val="0026190A"/>
    <w:rsid w:val="002B027B"/>
    <w:rsid w:val="002B08E7"/>
    <w:rsid w:val="002C27FF"/>
    <w:rsid w:val="003169B7"/>
    <w:rsid w:val="0038599D"/>
    <w:rsid w:val="00406334"/>
    <w:rsid w:val="0059398F"/>
    <w:rsid w:val="006174B4"/>
    <w:rsid w:val="006E7F21"/>
    <w:rsid w:val="00761619"/>
    <w:rsid w:val="0079337E"/>
    <w:rsid w:val="008217A7"/>
    <w:rsid w:val="00871D06"/>
    <w:rsid w:val="00875A00"/>
    <w:rsid w:val="008B20C5"/>
    <w:rsid w:val="00A20C37"/>
    <w:rsid w:val="00A34925"/>
    <w:rsid w:val="00A561CF"/>
    <w:rsid w:val="00B53B5A"/>
    <w:rsid w:val="00C5519E"/>
    <w:rsid w:val="00C80C3D"/>
    <w:rsid w:val="00CC189E"/>
    <w:rsid w:val="00CE4D78"/>
    <w:rsid w:val="00DF014C"/>
    <w:rsid w:val="00E02A36"/>
    <w:rsid w:val="00EB64C6"/>
    <w:rsid w:val="00F7396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A00"/>
  </w:style>
  <w:style w:type="paragraph" w:styleId="Ttulo1">
    <w:name w:val="heading 1"/>
    <w:basedOn w:val="normal0"/>
    <w:next w:val="normal0"/>
    <w:rsid w:val="00875A00"/>
    <w:pPr>
      <w:keepNext/>
      <w:keepLines/>
      <w:spacing w:before="400" w:after="120"/>
      <w:outlineLvl w:val="0"/>
    </w:pPr>
    <w:rPr>
      <w:sz w:val="40"/>
      <w:szCs w:val="40"/>
    </w:rPr>
  </w:style>
  <w:style w:type="paragraph" w:styleId="Ttulo2">
    <w:name w:val="heading 2"/>
    <w:basedOn w:val="normal0"/>
    <w:next w:val="normal0"/>
    <w:rsid w:val="00875A00"/>
    <w:pPr>
      <w:keepNext/>
      <w:keepLines/>
      <w:spacing w:before="360" w:after="120"/>
      <w:outlineLvl w:val="1"/>
    </w:pPr>
    <w:rPr>
      <w:sz w:val="32"/>
      <w:szCs w:val="32"/>
    </w:rPr>
  </w:style>
  <w:style w:type="paragraph" w:styleId="Ttulo3">
    <w:name w:val="heading 3"/>
    <w:basedOn w:val="normal0"/>
    <w:next w:val="normal0"/>
    <w:rsid w:val="00875A00"/>
    <w:pPr>
      <w:keepNext/>
      <w:keepLines/>
      <w:spacing w:before="320" w:after="80"/>
      <w:outlineLvl w:val="2"/>
    </w:pPr>
    <w:rPr>
      <w:color w:val="434343"/>
      <w:sz w:val="28"/>
      <w:szCs w:val="28"/>
    </w:rPr>
  </w:style>
  <w:style w:type="paragraph" w:styleId="Ttulo4">
    <w:name w:val="heading 4"/>
    <w:basedOn w:val="normal0"/>
    <w:next w:val="normal0"/>
    <w:rsid w:val="00875A00"/>
    <w:pPr>
      <w:keepNext/>
      <w:keepLines/>
      <w:spacing w:before="280" w:after="80"/>
      <w:outlineLvl w:val="3"/>
    </w:pPr>
    <w:rPr>
      <w:color w:val="666666"/>
      <w:sz w:val="24"/>
      <w:szCs w:val="24"/>
    </w:rPr>
  </w:style>
  <w:style w:type="paragraph" w:styleId="Ttulo5">
    <w:name w:val="heading 5"/>
    <w:basedOn w:val="normal0"/>
    <w:next w:val="normal0"/>
    <w:rsid w:val="00875A00"/>
    <w:pPr>
      <w:keepNext/>
      <w:keepLines/>
      <w:spacing w:before="240" w:after="80"/>
      <w:outlineLvl w:val="4"/>
    </w:pPr>
    <w:rPr>
      <w:color w:val="666666"/>
    </w:rPr>
  </w:style>
  <w:style w:type="paragraph" w:styleId="Ttulo6">
    <w:name w:val="heading 6"/>
    <w:basedOn w:val="normal0"/>
    <w:next w:val="normal0"/>
    <w:rsid w:val="00875A00"/>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875A00"/>
  </w:style>
  <w:style w:type="paragraph" w:styleId="Ttulo">
    <w:name w:val="Title"/>
    <w:basedOn w:val="normal0"/>
    <w:next w:val="normal0"/>
    <w:rsid w:val="00875A00"/>
    <w:pPr>
      <w:keepNext/>
      <w:keepLines/>
      <w:spacing w:after="60"/>
    </w:pPr>
    <w:rPr>
      <w:sz w:val="52"/>
      <w:szCs w:val="52"/>
    </w:rPr>
  </w:style>
  <w:style w:type="paragraph" w:styleId="Subttulo">
    <w:name w:val="Subtitle"/>
    <w:basedOn w:val="normal0"/>
    <w:next w:val="normal0"/>
    <w:rsid w:val="00875A00"/>
    <w:pPr>
      <w:keepNext/>
      <w:keepLines/>
      <w:spacing w:after="320"/>
    </w:pPr>
    <w:rPr>
      <w:color w:val="666666"/>
      <w:sz w:val="30"/>
      <w:szCs w:val="30"/>
    </w:rPr>
  </w:style>
  <w:style w:type="table" w:customStyle="1" w:styleId="a">
    <w:basedOn w:val="Tabelanormal"/>
    <w:rsid w:val="00875A00"/>
    <w:tblPr>
      <w:tblStyleRowBandSize w:val="1"/>
      <w:tblStyleColBandSize w:val="1"/>
      <w:tblInd w:w="0" w:type="dxa"/>
      <w:tblCellMar>
        <w:top w:w="100" w:type="dxa"/>
        <w:left w:w="100" w:type="dxa"/>
        <w:bottom w:w="100" w:type="dxa"/>
        <w:right w:w="100" w:type="dxa"/>
      </w:tblCellMar>
    </w:tblPr>
  </w:style>
  <w:style w:type="table" w:customStyle="1" w:styleId="a0">
    <w:basedOn w:val="Tabelanormal"/>
    <w:rsid w:val="00875A00"/>
    <w:tblPr>
      <w:tblStyleRowBandSize w:val="1"/>
      <w:tblStyleColBandSize w:val="1"/>
      <w:tblInd w:w="0" w:type="dxa"/>
      <w:tblCellMar>
        <w:top w:w="100" w:type="dxa"/>
        <w:left w:w="100" w:type="dxa"/>
        <w:bottom w:w="100" w:type="dxa"/>
        <w:right w:w="100" w:type="dxa"/>
      </w:tblCellMar>
    </w:tblPr>
  </w:style>
  <w:style w:type="paragraph" w:styleId="Cabealho">
    <w:name w:val="header"/>
    <w:basedOn w:val="Normal"/>
    <w:link w:val="CabealhoChar"/>
    <w:uiPriority w:val="99"/>
    <w:unhideWhenUsed/>
    <w:rsid w:val="0079337E"/>
    <w:pPr>
      <w:tabs>
        <w:tab w:val="center" w:pos="4320"/>
        <w:tab w:val="right" w:pos="8640"/>
      </w:tabs>
      <w:spacing w:line="240" w:lineRule="auto"/>
    </w:pPr>
  </w:style>
  <w:style w:type="character" w:customStyle="1" w:styleId="CabealhoChar">
    <w:name w:val="Cabeçalho Char"/>
    <w:basedOn w:val="Fontepargpadro"/>
    <w:link w:val="Cabealho"/>
    <w:uiPriority w:val="99"/>
    <w:rsid w:val="0079337E"/>
  </w:style>
  <w:style w:type="paragraph" w:styleId="Rodap">
    <w:name w:val="footer"/>
    <w:basedOn w:val="Normal"/>
    <w:link w:val="RodapChar"/>
    <w:uiPriority w:val="99"/>
    <w:unhideWhenUsed/>
    <w:rsid w:val="0079337E"/>
    <w:pPr>
      <w:tabs>
        <w:tab w:val="center" w:pos="4320"/>
        <w:tab w:val="right" w:pos="8640"/>
      </w:tabs>
      <w:spacing w:line="240" w:lineRule="auto"/>
    </w:pPr>
  </w:style>
  <w:style w:type="character" w:customStyle="1" w:styleId="RodapChar">
    <w:name w:val="Rodapé Char"/>
    <w:basedOn w:val="Fontepargpadro"/>
    <w:link w:val="Rodap"/>
    <w:uiPriority w:val="99"/>
    <w:rsid w:val="0079337E"/>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1337</Words>
  <Characters>7223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25</cp:revision>
  <dcterms:created xsi:type="dcterms:W3CDTF">2024-06-26T14:06:00Z</dcterms:created>
  <dcterms:modified xsi:type="dcterms:W3CDTF">2025-03-07T17:47:00Z</dcterms:modified>
</cp:coreProperties>
</file>